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539"/>
        <w:jc w:val="center"/>
        <w:rPr>
          <w:rFonts w:ascii="Poppins" w:cs="Poppins" w:eastAsia="Poppins" w:hAnsi="Poppins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vertAlign w:val="baseline"/>
          <w:rtl w:val="0"/>
        </w:rPr>
        <w:t xml:space="preserve">Lietuvos orientavimosi sporto federacijos (toliau – LOSF) organizuojamų varžybų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vertAlign w:val="baseline"/>
          <w:rtl w:val="0"/>
        </w:rPr>
        <w:t xml:space="preserve">vykdymo konkurso</w:t>
      </w:r>
    </w:p>
    <w:p w:rsidR="00000000" w:rsidDel="00000000" w:rsidP="00000000" w:rsidRDefault="00000000" w:rsidRPr="00000000" w14:paraId="00000003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740" w:firstLine="0"/>
        <w:rPr>
          <w:rFonts w:ascii="Poppins" w:cs="Poppins" w:eastAsia="Poppins" w:hAnsi="Poppins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vertAlign w:val="baseline"/>
          <w:rtl w:val="0"/>
        </w:rPr>
        <w:t xml:space="preserve">NUOSTATAI</w:t>
      </w:r>
    </w:p>
    <w:p w:rsidR="00000000" w:rsidDel="00000000" w:rsidP="00000000" w:rsidRDefault="00000000" w:rsidRPr="00000000" w14:paraId="00000005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Poppins" w:cs="Poppins" w:eastAsia="Poppins" w:hAnsi="Poppins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vertAlign w:val="baseline"/>
          <w:rtl w:val="0"/>
        </w:rPr>
        <w:t xml:space="preserve">Paraiškų pateikimas</w:t>
      </w:r>
    </w:p>
    <w:p w:rsidR="00000000" w:rsidDel="00000000" w:rsidP="00000000" w:rsidRDefault="00000000" w:rsidRPr="00000000" w14:paraId="00000007">
      <w:pPr>
        <w:ind w:left="0" w:firstLine="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34" w:lineRule="auto"/>
        <w:ind w:left="0" w:right="180" w:firstLine="0"/>
        <w:jc w:val="both"/>
        <w:rPr>
          <w:rFonts w:ascii="Poppins" w:cs="Poppins" w:eastAsia="Poppins" w:hAnsi="Poppins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Paskelbus atvirą konkursą paraiškos (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Google form</w:t>
      </w: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) teikiamos 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užpildant konkrečią formą</w:t>
      </w: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 ki konkurso skelbime nurodytos datos. Informacija apie konkursą pateikiama oficialiame LOSF interneto tinklapyje</w:t>
      </w:r>
      <w:r w:rsidDel="00000000" w:rsidR="00000000" w:rsidRPr="00000000">
        <w:rPr>
          <w:rFonts w:ascii="Poppins" w:cs="Poppins" w:eastAsia="Poppins" w:hAnsi="Poppins"/>
          <w:color w:val="0563c1"/>
          <w:sz w:val="24"/>
          <w:szCs w:val="24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Poppins" w:cs="Poppins" w:eastAsia="Poppins" w:hAnsi="Poppins"/>
            <w:color w:val="0563c1"/>
            <w:sz w:val="24"/>
            <w:szCs w:val="24"/>
            <w:u w:val="single"/>
            <w:vertAlign w:val="baseline"/>
            <w:rtl w:val="0"/>
          </w:rPr>
          <w:t xml:space="preserve">www.orienteering.lt</w:t>
        </w:r>
      </w:hyperlink>
      <w:hyperlink r:id="rId8">
        <w:r w:rsidDel="00000000" w:rsidR="00000000" w:rsidRPr="00000000">
          <w:rPr>
            <w:rFonts w:ascii="Poppins" w:cs="Poppins" w:eastAsia="Poppins" w:hAnsi="Poppins"/>
            <w:sz w:val="24"/>
            <w:szCs w:val="24"/>
            <w:u w:val="single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Poppins" w:cs="Poppins" w:eastAsia="Poppins" w:hAnsi="Poppins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vertAlign w:val="baseline"/>
          <w:rtl w:val="0"/>
        </w:rPr>
        <w:t xml:space="preserve">Paraiškos forma</w:t>
      </w:r>
    </w:p>
    <w:p w:rsidR="00000000" w:rsidDel="00000000" w:rsidP="00000000" w:rsidRDefault="00000000" w:rsidRPr="00000000" w14:paraId="0000000B">
      <w:pPr>
        <w:ind w:left="0" w:firstLine="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Paraiškos forma pateikiama 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oficialiame LOSF interneto tinklalapyje </w:t>
      </w:r>
      <w:hyperlink r:id="rId9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t xml:space="preserve">https://orienteering.lt/losf-organizuojamu-varzybu-konkurso-paraiskos/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Poppins" w:cs="Poppins" w:eastAsia="Poppins" w:hAnsi="Poppins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vertAlign w:val="baseline"/>
          <w:rtl w:val="0"/>
        </w:rPr>
        <w:t xml:space="preserve">Papildomos sąlygos</w:t>
      </w:r>
    </w:p>
    <w:p w:rsidR="00000000" w:rsidDel="00000000" w:rsidP="00000000" w:rsidRDefault="00000000" w:rsidRPr="00000000" w14:paraId="0000000F">
      <w:pPr>
        <w:ind w:left="0" w:firstLine="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17" w:lineRule="auto"/>
        <w:ind w:left="0" w:right="640" w:firstLine="0"/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Papildomos sąlygos varžybų rengimui ( laiko matavimo įranga, dotacija) nurodytos šių nuostatų priede Nr. 1</w:t>
      </w:r>
    </w:p>
    <w:p w:rsidR="00000000" w:rsidDel="00000000" w:rsidP="00000000" w:rsidRDefault="00000000" w:rsidRPr="00000000" w14:paraId="00000011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vertAlign w:val="baseline"/>
          <w:rtl w:val="0"/>
        </w:rPr>
        <w:t xml:space="preserve">Paraiškų vertinimas ir nugalėtojų nustatymas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leader="none" w:pos="1700"/>
        </w:tabs>
        <w:ind w:left="720" w:hanging="360"/>
        <w:rPr>
          <w:rFonts w:ascii="Poppins" w:cs="Poppins" w:eastAsia="Poppins" w:hAnsi="Poppins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Konkurso nugalėtojas nustatomas remiantis  vertinimo kriterijais.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tabs>
          <w:tab w:val="left" w:leader="none" w:pos="1680"/>
        </w:tabs>
        <w:ind w:left="720" w:hanging="360"/>
        <w:rPr>
          <w:rFonts w:ascii="Poppins" w:cs="Poppins" w:eastAsia="Poppins" w:hAnsi="Poppins"/>
          <w:sz w:val="24"/>
          <w:szCs w:val="24"/>
          <w:u w:val="no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Paraiškas vertina LOSF 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techninis komitetas.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Nugalėtojus tvirtina LOSF Prezidiumas.</w:t>
      </w:r>
    </w:p>
    <w:p w:rsidR="00000000" w:rsidDel="00000000" w:rsidP="00000000" w:rsidRDefault="00000000" w:rsidRPr="00000000" w14:paraId="00000018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33" w:lineRule="auto"/>
        <w:ind w:left="0" w:right="180" w:firstLine="0"/>
        <w:jc w:val="both"/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Su nugalėtoju 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iki einamųjų metų pabaigos</w:t>
      </w: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 sudaroma varžybų vykdymo sutartis. LOSF varžybų patarėjas paskiriamas likus ne mažiau nei 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 mėn. iki numatytos varžybų datos. Nugalėtojas privalo įvykdyti visus su LOSF pasirašytoje sutartyje numatytus įsipareigojimus.</w:t>
      </w:r>
    </w:p>
    <w:p w:rsidR="00000000" w:rsidDel="00000000" w:rsidP="00000000" w:rsidRDefault="00000000" w:rsidRPr="00000000" w14:paraId="0000001A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Poppins" w:cs="Poppins" w:eastAsia="Poppins" w:hAnsi="Poppins"/>
          <w:sz w:val="24"/>
          <w:szCs w:val="24"/>
          <w:vertAlign w:val="baseline"/>
        </w:rPr>
        <w:sectPr>
          <w:headerReference r:id="rId10" w:type="default"/>
          <w:headerReference r:id="rId11" w:type="first"/>
          <w:footerReference r:id="rId12" w:type="first"/>
          <w:pgSz w:h="15840" w:w="12240" w:orient="portrait"/>
          <w:pgMar w:bottom="597" w:top="1440" w:left="1440" w:right="680" w:header="0" w:footer="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1fob9te" w:id="1"/>
    <w:bookmarkEnd w:id="1"/>
    <w:p w:rsidR="00000000" w:rsidDel="00000000" w:rsidP="00000000" w:rsidRDefault="00000000" w:rsidRPr="00000000" w14:paraId="0000001C">
      <w:pPr>
        <w:spacing w:line="249" w:lineRule="auto"/>
        <w:ind w:left="0" w:right="120" w:firstLine="0"/>
        <w:jc w:val="center"/>
        <w:rPr>
          <w:rFonts w:ascii="Poppins" w:cs="Poppins" w:eastAsia="Poppins" w:hAnsi="Poppins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vertAlign w:val="baseline"/>
          <w:rtl w:val="0"/>
        </w:rPr>
        <w:t xml:space="preserve">Lietuvos orientavimosi sporto federacijos (toliau – LOSF) organizuojamų varžybų vykdymo konkurso nuostatų</w:t>
      </w:r>
    </w:p>
    <w:p w:rsidR="00000000" w:rsidDel="00000000" w:rsidP="00000000" w:rsidRDefault="00000000" w:rsidRPr="00000000" w14:paraId="0000001D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299"/>
        <w:jc w:val="center"/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vertAlign w:val="baseline"/>
          <w:rtl w:val="0"/>
        </w:rPr>
        <w:t xml:space="preserve">Priedas Nr.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60" w:firstLine="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vertAlign w:val="baseline"/>
          <w:rtl w:val="0"/>
        </w:rPr>
        <w:t xml:space="preserve">Starto mokestis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60" w:firstLine="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60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Starto mokestis nustatomas LOSF prezidiumo sprendimu tvirtinant LOSF ogranizuojamų varžybų nuostatus.</w:t>
      </w:r>
    </w:p>
    <w:p w:rsidR="00000000" w:rsidDel="00000000" w:rsidP="00000000" w:rsidRDefault="00000000" w:rsidRPr="00000000" w14:paraId="00000023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60" w:firstLine="0"/>
        <w:rPr>
          <w:rFonts w:ascii="Poppins" w:cs="Poppins" w:eastAsia="Poppins" w:hAnsi="Poppins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vertAlign w:val="baseline"/>
          <w:rtl w:val="0"/>
        </w:rPr>
        <w:t xml:space="preserve">Laiko matavimo įranga</w:t>
      </w:r>
    </w:p>
    <w:p w:rsidR="00000000" w:rsidDel="00000000" w:rsidP="00000000" w:rsidRDefault="00000000" w:rsidRPr="00000000" w14:paraId="00000025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8.00000000000006" w:lineRule="auto"/>
        <w:ind w:left="720" w:right="600" w:hanging="360"/>
        <w:rPr>
          <w:rFonts w:ascii="Poppins" w:cs="Poppins" w:eastAsia="Poppins" w:hAnsi="Poppins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Lietuvos orientavimosi sporto bėgte čempionatuose privalo būti naudojama SportIdent Si-Air laiko matavimo įranga.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6" w:lineRule="auto"/>
        <w:ind w:left="720" w:right="540" w:hanging="360"/>
        <w:rPr>
          <w:rFonts w:ascii="Poppins" w:cs="Poppins" w:eastAsia="Poppins" w:hAnsi="Poppins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Lietuvos orientavimosi sporto kalnų dviračiais čempionatuose privalo būti naudojama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vertAlign w:val="baseline"/>
          <w:rtl w:val="0"/>
        </w:rPr>
        <w:t xml:space="preserve">ilgo nuotolio</w:t>
      </w: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 SportIdent Si-Air laiko matavimo įranga.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8.00000000000006" w:lineRule="auto"/>
        <w:ind w:left="720" w:hanging="360"/>
        <w:rPr>
          <w:rFonts w:ascii="Poppins" w:cs="Poppins" w:eastAsia="Poppins" w:hAnsi="Poppins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Lietuvos orientavimosi sporto slidėmis čempionatuose rekomenduojama naudoti ilgo nuotolio SportIdent Si-Air laiko matavimo įranga.</w:t>
      </w:r>
    </w:p>
    <w:p w:rsidR="00000000" w:rsidDel="00000000" w:rsidP="00000000" w:rsidRDefault="00000000" w:rsidRPr="00000000" w14:paraId="00000029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60" w:firstLine="0"/>
        <w:rPr>
          <w:rFonts w:ascii="Poppins" w:cs="Poppins" w:eastAsia="Poppins" w:hAnsi="Poppins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vertAlign w:val="baseline"/>
          <w:rtl w:val="0"/>
        </w:rPr>
        <w:t xml:space="preserve">Varžybų finansavimas</w:t>
      </w:r>
    </w:p>
    <w:p w:rsidR="00000000" w:rsidDel="00000000" w:rsidP="00000000" w:rsidRDefault="00000000" w:rsidRPr="00000000" w14:paraId="0000002B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6" w:lineRule="auto"/>
        <w:ind w:left="260" w:right="500" w:firstLine="0"/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Lietuvos orientavimosi sporto čempionatų rengėjai renka nurodytą starto mokestį, kuris naudojamas varžyboms vykdyti.</w:t>
      </w:r>
    </w:p>
    <w:p w:rsidR="00000000" w:rsidDel="00000000" w:rsidP="00000000" w:rsidRDefault="00000000" w:rsidRPr="00000000" w14:paraId="0000002D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260" w:firstLine="0"/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vertAlign w:val="baseline"/>
          <w:rtl w:val="0"/>
        </w:rPr>
        <w:t xml:space="preserve">Lietuvos orientavimosi sporto federacija dotuoja:</w:t>
      </w:r>
    </w:p>
    <w:p w:rsidR="00000000" w:rsidDel="00000000" w:rsidP="00000000" w:rsidRDefault="00000000" w:rsidRPr="00000000" w14:paraId="0000002F">
      <w:pPr>
        <w:rPr>
          <w:rFonts w:ascii="Poppins" w:cs="Poppins" w:eastAsia="Poppins" w:hAnsi="Poppi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80.0" w:type="dxa"/>
        <w:jc w:val="left"/>
        <w:tblInd w:w="2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700"/>
        <w:gridCol w:w="4680"/>
        <w:tblGridChange w:id="0">
          <w:tblGrid>
            <w:gridCol w:w="4700"/>
            <w:gridCol w:w="468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ind w:left="120" w:firstLine="0"/>
              <w:rPr>
                <w:rFonts w:ascii="Poppins" w:cs="Poppins" w:eastAsia="Poppins" w:hAnsi="Poppins"/>
                <w:b w:val="1"/>
                <w:bCs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Varžybos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ind w:left="80" w:firstLine="0"/>
              <w:rPr>
                <w:rFonts w:ascii="Poppins" w:cs="Poppins" w:eastAsia="Poppins" w:hAnsi="Poppins"/>
                <w:b w:val="1"/>
                <w:bCs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Suma/diena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rFonts w:ascii="Poppins" w:cs="Poppins" w:eastAsia="Poppins" w:hAnsi="Poppi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rFonts w:ascii="Poppins" w:cs="Poppins" w:eastAsia="Poppins" w:hAnsi="Poppi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ind w:left="120" w:firstLine="0"/>
              <w:rPr>
                <w:rFonts w:ascii="Poppins" w:cs="Poppins" w:eastAsia="Poppins" w:hAnsi="Poppi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vertAlign w:val="baseline"/>
                <w:rtl w:val="0"/>
              </w:rPr>
              <w:t xml:space="preserve">Lietuvos OSS čempionatas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ind w:left="80" w:firstLine="0"/>
              <w:rPr>
                <w:rFonts w:ascii="Poppins" w:cs="Poppins" w:eastAsia="Poppins" w:hAnsi="Poppi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vertAlign w:val="baseline"/>
                <w:rtl w:val="0"/>
              </w:rPr>
              <w:t xml:space="preserve">500 eur</w:t>
            </w: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Poppins" w:cs="Poppins" w:eastAsia="Poppins" w:hAnsi="Poppi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rFonts w:ascii="Poppins" w:cs="Poppins" w:eastAsia="Poppins" w:hAnsi="Poppi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ind w:left="120" w:firstLine="0"/>
              <w:rPr>
                <w:rFonts w:ascii="Poppins" w:cs="Poppins" w:eastAsia="Poppins" w:hAnsi="Poppi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vertAlign w:val="baseline"/>
                <w:rtl w:val="0"/>
              </w:rPr>
              <w:t xml:space="preserve">Lietuvos OSKD čempionatas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ind w:left="80" w:firstLine="0"/>
              <w:rPr>
                <w:rFonts w:ascii="Poppins" w:cs="Poppins" w:eastAsia="Poppins" w:hAnsi="Poppi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vertAlign w:val="baseline"/>
                <w:rtl w:val="0"/>
              </w:rPr>
              <w:t xml:space="preserve">400 eur*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rFonts w:ascii="Poppins" w:cs="Poppins" w:eastAsia="Poppins" w:hAnsi="Poppi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rFonts w:ascii="Poppins" w:cs="Poppins" w:eastAsia="Poppins" w:hAnsi="Poppin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ind w:left="0" w:firstLine="0"/>
        <w:rPr>
          <w:rFonts w:ascii="Poppins" w:cs="Poppins" w:eastAsia="Poppins" w:hAnsi="Poppins"/>
          <w:i w:val="1"/>
          <w:iCs w:val="1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sz w:val="22"/>
          <w:szCs w:val="22"/>
          <w:rtl w:val="0"/>
        </w:rPr>
        <w:t xml:space="preserve">*ne mažiau nei nurodyta suma, tačiau patikslinta pasirašant sutartį su varžybų rengėju.</w:t>
      </w:r>
    </w:p>
    <w:sectPr>
      <w:type w:val="nextPage"/>
      <w:pgSz w:h="15840" w:w="12240" w:orient="portrait"/>
      <w:pgMar w:bottom="868" w:top="1090" w:left="1440" w:right="4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-28574</wp:posOffset>
          </wp:positionH>
          <wp:positionV relativeFrom="page">
            <wp:posOffset>-47624</wp:posOffset>
          </wp:positionV>
          <wp:extent cx="7786688" cy="1586538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1586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orienteering.lt/losf-organizuojamu-varzybu-konkurso-paraisko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orienteering.lt/" TargetMode="External"/><Relationship Id="rId8" Type="http://schemas.openxmlformats.org/officeDocument/2006/relationships/hyperlink" Target="http://www.orienteering.l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XKREbWTdXrr/fDnlTepvE/EArw==">CgMxLjAyCWlkLmdqZGd4czIKaWQuMWZvYjl0ZTgAciExLWt5X1RIZWNOenpPWm5oVmYwWHJjckY3NVc1N1lVOHk=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